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Název: </w:t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Ekonomické systémy pro 21. století</w:t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Anotace: </w:t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kdyby se bohatý svět uskrovnil na nejvyšší míru, stále je tady svět chudý. Abychom zajistili důstojné podmínky k životu strádajícím, potřebujeme hospodářský růst. Protože každý si zaslouží důstojné přístřeší, důstojné materiální zázemí a přiměřenou zdravotní péči. V ekonomii tvorbu těchto statků nazýváme hospodářský růst. </w:t>
      </w:r>
    </w:p>
    <w:p w:rsidR="00000000" w:rsidDel="00000000" w:rsidP="00000000" w:rsidRDefault="00000000" w:rsidRPr="00000000" w14:paraId="0000000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Chceme-li vyrábět věci, potřebujeme energie. Spousta lidí toho bohužel moc nemá, takže potřebuje hodně věcí, hodně energie. Válkou sužované země se nemohou dočkat, až začnou stavět domy, cesty.</w:t>
      </w:r>
    </w:p>
    <w:p w:rsidR="00000000" w:rsidDel="00000000" w:rsidP="00000000" w:rsidRDefault="00000000" w:rsidRPr="00000000" w14:paraId="0000000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 výrobě věcí potřebujeme energie. Hospodářský růst stojí převážně na energiích, jejichž přeměna však způsobuje stále další a další produkci CO2, tedy příčinu dalšího a dalšího oteplování planety. </w:t>
      </w:r>
    </w:p>
    <w:p w:rsidR="00000000" w:rsidDel="00000000" w:rsidP="00000000" w:rsidRDefault="00000000" w:rsidRPr="00000000" w14:paraId="0000000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Populace planety roste. Každý potřebuje jíst, bydlet. Každé auto, každý zubní kartáček i rohlík znamená přeměnu energie, tedy další  CO2. A další vytěžování zdrojů půdy, další kontaminaci zdrojů vody, další odpad.</w:t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Lze růst a zároveň jako lidstvo na Zemi přežít?</w:t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 lekci se seznámíme se základními pojmy, které bychom měli dobře znát: co je hospodářský růst, co znamená nerůst, co je hnutí nerůst, co je doughnutová ekonomika, cirkulární ekonomika, decoupling.</w:t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Tato lekce obsahuje tolik příloh, že byste se oprávněně měli zaleknout. Pokud si však proklikáte prezentaci (stačí najít tu pravou:), zjistíte, že to zase až taková hrůza nebude. Pokud se bojíte tématu jako takového, že by po vás vyžadovalo mnoho přípravy a studia, nebojte se.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Vy nemusíte vědět vůbec nic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Do jaké míry a s jakou přesností žáci proniknou do tématu je jen na nich. Vy se pouze můžete těšit na to, že se dozvíte něco nového.</w:t>
      </w:r>
    </w:p>
    <w:p w:rsidR="00000000" w:rsidDel="00000000" w:rsidP="00000000" w:rsidRDefault="00000000" w:rsidRPr="00000000" w14:paraId="0000001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 zkratce lze shrnout, že si uděláte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simulaci vědecké konference. Vytvoříte expertní skupiny, které si nastudují určitou oblast (klimatická změna, chudoba,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hospodářský růst, decoupling atd) a ty pak seznámí s výsledkem svého bádání kolegy.</w:t>
      </w:r>
    </w:p>
    <w:p w:rsidR="00000000" w:rsidDel="00000000" w:rsidP="00000000" w:rsidRDefault="00000000" w:rsidRPr="00000000" w14:paraId="0000001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Jestli si žáci skutečně rozdělí vědecké tituly, vytvoří postery, zajistí pitný režim či doprovodný program ke konferenci, záleží čistě na vás, zájmu žáků a vašich časových možnostech.</w:t>
      </w:r>
    </w:p>
    <w:p w:rsidR="00000000" w:rsidDel="00000000" w:rsidP="00000000" w:rsidRDefault="00000000" w:rsidRPr="00000000" w14:paraId="0000001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Já jsem metodiku pilotovala na maturantech, kteří mají letos probírat jen filosofii. Oslím můstkem mi byla politická filosofie doby osvícenství a otázky po podstatě člověka a role státu. Přes redefinici společenské smlouvy zmínkou o Johnu Rawlsovi jsme se dostali do současnosti. Zralí maturanti se v rámci debaty zamysleli nad možností nápravy nespravedlností světa, pak si vybrali téma z nabídky pracovních listů. Příslušnou oblast si nastudovali a odprezentovali spolužákům. K mému překvapení se zájmem (i když někteří se samozřejmě raději učili na přijímačky). Žádná hra na konferenci, žádné postery. Ale pro třeťáky bych ten čas vyhradila.</w:t>
      </w:r>
    </w:p>
    <w:p w:rsidR="00000000" w:rsidDel="00000000" w:rsidP="00000000" w:rsidRDefault="00000000" w:rsidRPr="00000000" w14:paraId="0000001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Klíčová slova:</w:t>
      </w:r>
    </w:p>
    <w:p w:rsidR="00000000" w:rsidDel="00000000" w:rsidP="00000000" w:rsidRDefault="00000000" w:rsidRPr="00000000" w14:paraId="0000001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Růst, HDP, nerůst, koblihová ekonomika, doughnutová ekonomika, decoupling, životní prostředí, klima, chudoba</w:t>
      </w:r>
    </w:p>
    <w:p w:rsidR="00000000" w:rsidDel="00000000" w:rsidP="00000000" w:rsidRDefault="00000000" w:rsidRPr="00000000" w14:paraId="0000001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Průřezová témata:</w:t>
      </w:r>
    </w:p>
    <w:p w:rsidR="00000000" w:rsidDel="00000000" w:rsidP="00000000" w:rsidRDefault="00000000" w:rsidRPr="00000000" w14:paraId="0000001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Výchova demokratického občana, environmentální výchova, výchova k myšlení v evropských a globálních souvislostech</w:t>
      </w:r>
    </w:p>
    <w:p w:rsidR="00000000" w:rsidDel="00000000" w:rsidP="00000000" w:rsidRDefault="00000000" w:rsidRPr="00000000" w14:paraId="0000002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Doporučený věk:</w:t>
      </w:r>
    </w:p>
    <w:p w:rsidR="00000000" w:rsidDel="00000000" w:rsidP="00000000" w:rsidRDefault="00000000" w:rsidRPr="00000000" w14:paraId="0000002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plus</w:t>
      </w:r>
    </w:p>
    <w:p w:rsidR="00000000" w:rsidDel="00000000" w:rsidP="00000000" w:rsidRDefault="00000000" w:rsidRPr="00000000" w14:paraId="0000002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Délka:</w:t>
      </w:r>
    </w:p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45-120 minut</w:t>
      </w:r>
    </w:p>
    <w:p w:rsidR="00000000" w:rsidDel="00000000" w:rsidP="00000000" w:rsidRDefault="00000000" w:rsidRPr="00000000" w14:paraId="0000002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Pomůcky:</w:t>
      </w:r>
    </w:p>
    <w:p w:rsidR="00000000" w:rsidDel="00000000" w:rsidP="00000000" w:rsidRDefault="00000000" w:rsidRPr="00000000" w14:paraId="0000002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Počítač s připojením na internet, projektor, pracovní listy</w:t>
      </w:r>
    </w:p>
    <w:p w:rsidR="00000000" w:rsidDel="00000000" w:rsidP="00000000" w:rsidRDefault="00000000" w:rsidRPr="00000000" w14:paraId="0000002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Postup:</w:t>
      </w:r>
    </w:p>
    <w:p w:rsidR="00000000" w:rsidDel="00000000" w:rsidP="00000000" w:rsidRDefault="00000000" w:rsidRPr="00000000" w14:paraId="0000002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Otevřete prezentaci a nechte se vést.</w:t>
      </w:r>
    </w:p>
    <w:p w:rsidR="00000000" w:rsidDel="00000000" w:rsidP="00000000" w:rsidRDefault="00000000" w:rsidRPr="00000000" w14:paraId="0000002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 společnost spravedlivá? O jakou společnost a jakou spravedlnost se dozvíme vzápětí, při vysvětlování tvrzení formou hry. Projděte s žáky obrazovou přílohu slidu 7 a 9. Není v prezentaci jen na ozdobu.</w:t>
      </w:r>
    </w:p>
    <w:p w:rsidR="00000000" w:rsidDel="00000000" w:rsidP="00000000" w:rsidRDefault="00000000" w:rsidRPr="00000000" w14:paraId="0000003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56910" cy="2947670"/>
            <wp:effectExtent b="0" l="0" r="0" t="0"/>
            <wp:docPr id="21329954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7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Screenshot vyhledávání podle klíčového výrazu „nůžky mezi chudými a bohatými se rozevírají“ je evergreenem po desetiletí. Grafy pak ukazují, jak je bohatství nerovnoměrně rozděleno.</w:t>
      </w:r>
    </w:p>
    <w:p w:rsidR="00000000" w:rsidDel="00000000" w:rsidP="00000000" w:rsidRDefault="00000000" w:rsidRPr="00000000" w14:paraId="0000003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56910" cy="3199765"/>
            <wp:effectExtent b="0" l="0" r="0" t="0"/>
            <wp:docPr id="21329954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99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Jedno procento nejbohatších je zodpovědno dvojnásobkem za emise CO2 oproti polovině chudší části lidstva.</w:t>
      </w:r>
    </w:p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Zároveň platí, že zboží se spotřebovává jinde, než se vyrábí. Dopady západního životního stylu schytávají jinde.</w:t>
      </w:r>
    </w:p>
    <w:p w:rsidR="00000000" w:rsidDel="00000000" w:rsidP="00000000" w:rsidRDefault="00000000" w:rsidRPr="00000000" w14:paraId="0000003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 další části nabídneme zatím jen zlehka téma osobní odpovědnosti za klimatickou změnu.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Zatímco z čistě vědeckého hlediska je osobní střídmost z hlediska vyřešení klimatické krize pouhou kapkou v oceánu, nezapomínejme na mobilizační funkci, kterou ekologický aktivismus jednotlivce s sebou nese.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Toto bude argument pro tu pracovní skupinu, která se později bude zabývat osobní odpovědností na „expertní“ úrovni.</w:t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Proto je HRA O ZEMI a naše ekologická stopa důležitou aktivitou v rámci lekce. Kolik zeměkoulí by byla potřeba, kdyby měli všichni stejný životní standard jako vy?</w:t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Konečně se dostáváme k odpovědnosti celospolečenské, kdy začíná simulace vědecké konference. Experti se rozdělí do skupin, nastudují téma, vytvoří poster – mentální mapu, vystoupí se svým příspěvkem na konferenci.</w:t>
      </w:r>
    </w:p>
    <w:p w:rsidR="00000000" w:rsidDel="00000000" w:rsidP="00000000" w:rsidRDefault="00000000" w:rsidRPr="00000000" w14:paraId="0000003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Jak rozdělit žáky do expertních skupin? Jednoduše Rozstříhejte pracovní listy podle počtu žáků, nechte žáky vylosovat jednu část a v časovém limitu najdou zbytek pracovního listu. Nebo je nechte si svou skupinu vybrat dle tématu svého zájmu a je to.</w:t>
      </w:r>
    </w:p>
    <w:p w:rsidR="00000000" w:rsidDel="00000000" w:rsidP="00000000" w:rsidRDefault="00000000" w:rsidRPr="00000000" w14:paraId="0000004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Pracovní listy doporučujeme nasdílet včetně prezentace doc. Elišky Vejchodské a odkazu na její přednášku. Struktura pracovních listů a příspěvků na konferenci vychází právě od ní. </w:t>
      </w:r>
    </w:p>
    <w:p w:rsidR="00000000" w:rsidDel="00000000" w:rsidP="00000000" w:rsidRDefault="00000000" w:rsidRPr="00000000" w14:paraId="0000004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 vám může připadat matoucí je, že program konference nabízí konkrétní témata, která nejsou vždy obsahem pracovního listu. Jsou ale obsahem prezentace a přednášky doc. E. Vejchodské. Pro hledání odpovědí na otázky, které si klade konference, nasměrujte studenty právě na ni.</w:t>
      </w:r>
    </w:p>
    <w:p w:rsidR="00000000" w:rsidDel="00000000" w:rsidP="00000000" w:rsidRDefault="00000000" w:rsidRPr="00000000" w14:paraId="0000004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Shrnutí: Pracovní listy jsou chápány jako základ pro získání přehledu a tvorbu posteru – mentální mapy. Na jejich základě a prezentaci doc. Vejchodské stojí příspěvek na konferenci.</w:t>
      </w:r>
    </w:p>
    <w:p w:rsidR="00000000" w:rsidDel="00000000" w:rsidP="00000000" w:rsidRDefault="00000000" w:rsidRPr="00000000" w14:paraId="0000004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Jak téma shrnout? Pokud jste nejlepší učitelé na světě, tak necháte žáky udělat jako výstup z konference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sborník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Kéž někdy dospěju do stadia, kdy se nebudu bát, kolik času tím „ztratím“ na úkor ŠVP.</w:t>
      </w:r>
    </w:p>
    <w:p w:rsidR="00000000" w:rsidDel="00000000" w:rsidP="00000000" w:rsidRDefault="00000000" w:rsidRPr="00000000" w14:paraId="0000004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Odkazy a doporučení:</w:t>
      </w:r>
    </w:p>
    <w:p w:rsidR="00000000" w:rsidDel="00000000" w:rsidP="00000000" w:rsidRDefault="00000000" w:rsidRPr="00000000" w14:paraId="0000004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https://www.youtube.com/watch?v=M07MIJDXjJA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Přednáška Michala Skořepy na téma Otazníky nad ekonomickým růstem</w:t>
      </w:r>
    </w:p>
    <w:p w:rsidR="00000000" w:rsidDel="00000000" w:rsidP="00000000" w:rsidRDefault="00000000" w:rsidRPr="00000000" w14:paraId="0000004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https://www.youtube.com/watch?v=xZOwlJQfIjs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Přednáška Elišky Vejchodské na téma Ekonomika a udržitelný orzvoj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Zdroje:</w:t>
      </w:r>
    </w:p>
    <w:p w:rsidR="00000000" w:rsidDel="00000000" w:rsidP="00000000" w:rsidRDefault="00000000" w:rsidRPr="00000000" w14:paraId="0000005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Zdroje jsou uvedeny v prezentaci a pracovních listech. Odkazy na přednášku pana Michala Skořepy na téma hospodářského růstu a přednáška paní Elišky Vejchodské na téma ekonomiky a udržitelného rozvoje jsou v odkazech. </w:t>
      </w:r>
    </w:p>
    <w:p w:rsidR="00000000" w:rsidDel="00000000" w:rsidP="00000000" w:rsidRDefault="00000000" w:rsidRPr="00000000" w14:paraId="0000005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Vypracovala: </w:t>
      </w:r>
    </w:p>
    <w:p w:rsidR="00000000" w:rsidDel="00000000" w:rsidP="00000000" w:rsidRDefault="00000000" w:rsidRPr="00000000" w14:paraId="0000005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Irena Eibenová</w:t>
      </w:r>
    </w:p>
    <w:p w:rsidR="00000000" w:rsidDel="00000000" w:rsidP="00000000" w:rsidRDefault="00000000" w:rsidRPr="00000000" w14:paraId="0000005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6840" w:w="11900" w:orient="portrait"/>
      <w:pgMar w:bottom="2325" w:top="2552" w:left="1417" w:right="1417" w:header="15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-1417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-899794</wp:posOffset>
          </wp:positionH>
          <wp:positionV relativeFrom="paragraph">
            <wp:posOffset>-9524</wp:posOffset>
          </wp:positionV>
          <wp:extent cx="7560000" cy="10694133"/>
          <wp:effectExtent b="0" l="0" r="0" t="0"/>
          <wp:wrapNone/>
          <wp:docPr id="2132995427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736AEF"/>
  </w:style>
  <w:style w:type="paragraph" w:styleId="Nadpis1">
    <w:name w:val="heading 1"/>
    <w:basedOn w:val="Normln"/>
    <w:next w:val="Normln"/>
    <w:link w:val="Nadpis1Char"/>
    <w:uiPriority w:val="9"/>
    <w:qFormat w:val="1"/>
    <w:rsid w:val="005B4A88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Zhlav">
    <w:name w:val="header"/>
    <w:basedOn w:val="Normln"/>
    <w:link w:val="ZhlavChar"/>
    <w:uiPriority w:val="99"/>
    <w:unhideWhenUsed w:val="1"/>
    <w:rsid w:val="005B4A88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5B4A88"/>
  </w:style>
  <w:style w:type="paragraph" w:styleId="Zpat">
    <w:name w:val="footer"/>
    <w:basedOn w:val="Normln"/>
    <w:link w:val="ZpatChar"/>
    <w:uiPriority w:val="99"/>
    <w:unhideWhenUsed w:val="1"/>
    <w:rsid w:val="005B4A88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5B4A88"/>
  </w:style>
  <w:style w:type="paragraph" w:styleId="021TITULEK" w:customStyle="1">
    <w:name w:val="02.1_TITULEK"/>
    <w:basedOn w:val="Nadpis1"/>
    <w:rsid w:val="005B4A88"/>
    <w:pPr>
      <w:keepLines w:val="0"/>
      <w:spacing w:after="60"/>
    </w:pPr>
    <w:rPr>
      <w:rFonts w:ascii="Times New Roman" w:cs="Times New Roman" w:eastAsia="Times New Roman" w:hAnsi="Times New Roman"/>
      <w:b w:val="1"/>
      <w:bCs w:val="1"/>
      <w:color w:val="000000"/>
      <w:kern w:val="32"/>
      <w:sz w:val="28"/>
      <w:szCs w:val="28"/>
    </w:rPr>
  </w:style>
  <w:style w:type="paragraph" w:styleId="032TEXT" w:customStyle="1">
    <w:name w:val="03.2_TEXT"/>
    <w:basedOn w:val="Normln"/>
    <w:link w:val="032TEXTChar"/>
    <w:rsid w:val="005B4A88"/>
    <w:pPr>
      <w:autoSpaceDE w:val="0"/>
      <w:autoSpaceDN w:val="0"/>
      <w:adjustRightInd w:val="0"/>
      <w:spacing w:after="240"/>
    </w:pPr>
    <w:rPr>
      <w:rFonts w:ascii="Times New Roman" w:cs="Times New Roman" w:eastAsia="Times New Roman" w:hAnsi="Times New Roman"/>
      <w:bCs w:val="1"/>
      <w:color w:val="000000"/>
      <w:sz w:val="22"/>
      <w:szCs w:val="22"/>
    </w:rPr>
  </w:style>
  <w:style w:type="paragraph" w:styleId="033TEXTODRKY" w:customStyle="1">
    <w:name w:val="03.3_TEXT_ODRÁŽKY"/>
    <w:basedOn w:val="Normln"/>
    <w:link w:val="033TEXTODRKYChar"/>
    <w:rsid w:val="005B4A88"/>
    <w:pPr>
      <w:numPr>
        <w:numId w:val="1"/>
      </w:numPr>
      <w:autoSpaceDE w:val="0"/>
      <w:autoSpaceDN w:val="0"/>
      <w:adjustRightInd w:val="0"/>
    </w:pPr>
    <w:rPr>
      <w:rFonts w:ascii="Times New Roman" w:cs="Times New Roman" w:eastAsia="Times New Roman" w:hAnsi="Times New Roman"/>
      <w:color w:val="000000"/>
      <w:sz w:val="22"/>
      <w:szCs w:val="22"/>
    </w:rPr>
  </w:style>
  <w:style w:type="character" w:styleId="032TEXTChar" w:customStyle="1">
    <w:name w:val="03.2_TEXT Char"/>
    <w:link w:val="032TEXT"/>
    <w:rsid w:val="005B4A88"/>
    <w:rPr>
      <w:rFonts w:ascii="Times New Roman" w:cs="Times New Roman" w:eastAsia="Times New Roman" w:hAnsi="Times New Roman"/>
      <w:bCs w:val="1"/>
      <w:color w:val="000000"/>
      <w:sz w:val="22"/>
      <w:szCs w:val="22"/>
    </w:rPr>
  </w:style>
  <w:style w:type="character" w:styleId="033TEXTODRKYChar" w:customStyle="1">
    <w:name w:val="03.3_TEXT_ODRÁŽKY Char"/>
    <w:link w:val="033TEXTODRKY"/>
    <w:rsid w:val="005B4A88"/>
    <w:rPr>
      <w:rFonts w:ascii="Times New Roman" w:cs="Times New Roman" w:eastAsia="Times New Roman" w:hAnsi="Times New Roman"/>
      <w:color w:val="000000"/>
      <w:sz w:val="22"/>
      <w:szCs w:val="22"/>
    </w:rPr>
  </w:style>
  <w:style w:type="paragraph" w:styleId="Bezmezer">
    <w:name w:val="No Spacing"/>
    <w:uiPriority w:val="1"/>
    <w:qFormat w:val="1"/>
    <w:rsid w:val="005B4A88"/>
    <w:rPr>
      <w:rFonts w:ascii="Calibri" w:cs="Times New Roman" w:eastAsia="Calibri" w:hAnsi="Calibri"/>
      <w:sz w:val="22"/>
      <w:szCs w:val="22"/>
    </w:rPr>
  </w:style>
  <w:style w:type="character" w:styleId="Nadpis1Char" w:customStyle="1">
    <w:name w:val="Nadpis 1 Char"/>
    <w:basedOn w:val="Standardnpsmoodstavce"/>
    <w:link w:val="Nadpis1"/>
    <w:uiPriority w:val="9"/>
    <w:rsid w:val="005B4A88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860253"/>
    <w:rPr>
      <w:rFonts w:ascii="Lucida Grande" w:cs="Lucida Grande" w:hAnsi="Lucida Grande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860253"/>
    <w:rPr>
      <w:rFonts w:ascii="Lucida Grande" w:cs="Lucida Grande" w:hAnsi="Lucida Grande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www.youtube.com/watch?v=xZOwlJQfIjs" TargetMode="External"/><Relationship Id="rId9" Type="http://schemas.openxmlformats.org/officeDocument/2006/relationships/hyperlink" Target="https://www.youtube.com/watch?v=M07MIJDXjJ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riGbehWi0lbK9M2ZbmM02aNZpg==">CgMxLjA4AHIhMUlJSHc0Q1ZxR1NDc082eDMxNUpDZEdyVU1yNzhmWFVJ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2024-02-15T16:53:00Z</dcterms:created>
  <dc:creator>Matyáš Trnka</dc:creator>
</cp:coreProperties>
</file>